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IV 139</w:t>
      </w:r>
    </w:p>
    <w:p>
      <w:r>
        <w:t>Bundesgericht (BGE), 1986-11-11, DE</w:t>
      </w:r>
    </w:p>
    <w:p>
      <w:r>
        <w:rPr>
          <w:b/>
        </w:rPr>
        <w:t xml:space="preserve">Quelle: </w:t>
      </w:r>
      <w:r>
        <w:t>https://mcp.opencaselaw.ch/entscheid/bge_112 IV 139</w:t>
      </w:r>
    </w:p>
    <w:p>
      <w:r>
        <w:t>FR: ATF 112 IV 139</w:t>
      </w:r>
    </w:p>
    <w:p>
      <w:r>
        <w:t>IT: DTF 112 IV 139</w:t>
      </w:r>
    </w:p>
    <w:p>
      <w:pPr>
        <w:pStyle w:val="Heading2"/>
      </w:pPr>
      <w:r>
        <w:t>Regeste</w:t>
      </w:r>
    </w:p>
    <w:p>
      <w:r>
        <w:t>Regeste Art. 263 BStP, Art. 349/350 StGB; Bestimmung des Gerichtsstandes. 1. Voraussetzung für die Teilung des Gerichtsstandes beim Zusammentreffen vieler durch mehrere Täter begangener Straftaten in casu verneint (E. 3). 2. Vorgehen im Sinne des "forum secundum praeventionis" (E. 4).</w:t>
      </w:r>
    </w:p>
    <w:p>
      <w:pPr>
        <w:pStyle w:val="Heading2"/>
      </w:pPr>
      <w:r>
        <w:t>Erwägungen</w:t>
      </w:r>
    </w:p>
    <w:p>
      <w:r>
        <w:rPr>
          <w:b/>
        </w:rPr>
        <w:t>E. 3</w:t>
      </w:r>
    </w:p>
    <w:p>
      <w:r>
        <w:t>Die Staatsanwaltschaft des Kantons Schaffhausen hat in ihrer Eingabe eventualiter eine Aufteilung des Verfahrens nach Tätergruppen vorgeschlagen. Eine solche Lösung wurde von der Rechtsprechung bisweilen namentlich dann als möglich erachtet, wenn zwei oder mehrere Tätergruppen zur Hauptsache unabhängig voneinander gehandelt hatten und nur wenige Querverbindungen bestanden, so dass sich eine geteilte Verfolgung und Beurteilung ohne zu grosse Schwierigkeiten durchführen liess und sich eine solche Regelung auch unter dem Gesichtspunkt der Prozessökonomie aufdrängte; denn von der Möglichkeit der Trennung des Verfahrens ist zurückhaltend Gebrauch zu machen ( BGE 69 IV 47 /48). Im vorliegenden Fall ergibt eine nähere Prüfung der Akten, dass zwar zwei Tätergruppen (A. und Kons. und B. und Kons.) das Bild beherrschen, dass jedoch zwischen ihnen vielfache, über den Mittäter C. laufende Querverbindungen bestehen, so dass eine Aufteilung des Verfahrens dem in Art. 349 StGB zum Ausdruck gebrachten Willen des Gesetzgebers, alle Tatbeteiligten wenn möglich am gleichen Ort zu verfolgen und zu beurteilen, zuwiderliefe.</w:t>
      </w:r>
    </w:p>
    <w:p>
      <w:r>
        <w:rPr>
          <w:b/>
        </w:rPr>
        <w:t>E. 4</w:t>
      </w:r>
    </w:p>
    <w:p>
      <w:r>
        <w:t>Eine Lösung, die einerseits dem Bestreben nach Zweckmässigkeit und anderseits dem Grundgedanken des Gesetzes BGE 112 IV 139 S. 142 entgegenkommt, bietet im vorliegenden Fall ein von der Rechtsprechung in besonderen Fällen erprobtes Vorgehen im Sinne des sogenannten forum secundum praeventionis. Die Liste der hier in Betracht fallenden Straftaten zeigt, dass von den rund 110 Deliktsfällen mehr als die Hälfte (61) auf die Kantone St. Gallen und Thurgau entfallen, während sich der Rest auf insgesamt 12 Kantone verteilt. Bei dieser Sachlage, die ein Schwergewicht in den Kantonen St. Gallen und Thurgau ergibt, rechtfertigt es sich, den Gerichtsstand in einem von ihnen festzulegen, wobei unter ihnen die Zuständigkeit analog der gesetzlichen Norm des Art. 350 StGB zu bestimmen ist. Die ersten in einem der beiden Kantone zur Anzeige gebrachten Deliktsfälle sind die Einbrüche von C. und Frau C.-D. in Rorschach/SG. Nachdem die beiden Angeschuldigten bereits Ende Januar und Anfang Februar 1983 zusammen mit B. Einbruchdiebstähle verübt hatten, für welche die Bandenmässigkeit nach der Aktenlage nicht auszuschliessen ist, was im Rahmen der Gerichtsstandsbestimmung ausreicht, ist dieser Schluss auch für die in Rorschach verübten Einbruchdiebstähle begründet, zumal C. und Frau C.-D. inzwischen am 3. März 1983 geheiratet hatten und deshalb ein konkludenter Wille, die finanziellen Schwierigkeiten weiterhin vermittels Einbruchdiebstählen zu beheben und in diesem Sinne jederzeit zusammenzuwirken, in vermehrtem Masse begründet erscheint. Angesichts dessen ist deshalb der Gerichtsstand insgesamt im Kanton St. Gallen festzulegen.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